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F49BF" w14:textId="77777777" w:rsidR="00410F53" w:rsidRDefault="00410F53" w:rsidP="00410F53">
      <w:pPr>
        <w:pStyle w:val="Header"/>
        <w:jc w:val="center"/>
        <w:rPr>
          <w:noProof/>
          <w:color w:val="FF0000"/>
        </w:rPr>
      </w:pPr>
    </w:p>
    <w:p w14:paraId="00A472FC" w14:textId="774457F5" w:rsidR="00426137" w:rsidRDefault="00426137" w:rsidP="00410F53">
      <w:pPr>
        <w:pStyle w:val="Header"/>
        <w:jc w:val="center"/>
      </w:pPr>
      <w:r w:rsidRPr="00022F7B">
        <w:rPr>
          <w:noProof/>
          <w:color w:val="FF0000"/>
          <w:highlight w:val="yellow"/>
        </w:rPr>
        <w:t>&lt;Insert Company Letterhead&gt;</w:t>
      </w:r>
    </w:p>
    <w:p w14:paraId="67AB17D6" w14:textId="77777777" w:rsidR="00426137" w:rsidRDefault="00426137" w:rsidP="00515891">
      <w:pPr>
        <w:spacing w:after="0"/>
        <w:rPr>
          <w:b/>
          <w:i/>
          <w:u w:val="single"/>
        </w:rPr>
      </w:pPr>
    </w:p>
    <w:p w14:paraId="068392D4" w14:textId="77777777" w:rsidR="00426137" w:rsidRDefault="00426137" w:rsidP="00515891">
      <w:pPr>
        <w:spacing w:after="0"/>
        <w:rPr>
          <w:b/>
          <w:i/>
          <w:u w:val="single"/>
        </w:rPr>
      </w:pPr>
    </w:p>
    <w:p w14:paraId="266657AE" w14:textId="3927F602" w:rsidR="00515891" w:rsidRPr="000E44E4" w:rsidRDefault="00515891" w:rsidP="00E65EF1">
      <w:pPr>
        <w:spacing w:after="0"/>
        <w:jc w:val="center"/>
        <w:rPr>
          <w:b/>
        </w:rPr>
      </w:pPr>
      <w:r w:rsidRPr="000E44E4">
        <w:rPr>
          <w:b/>
          <w:i/>
          <w:u w:val="single"/>
        </w:rPr>
        <w:t>AUTHORITY AND ACKNOWLEDGEMENT OF TRADING CONDITIONS</w:t>
      </w:r>
    </w:p>
    <w:p w14:paraId="3F3E78EA" w14:textId="77777777" w:rsidR="00515891" w:rsidRPr="000E44E4" w:rsidRDefault="00515891" w:rsidP="00515891">
      <w:pPr>
        <w:spacing w:after="0"/>
        <w:rPr>
          <w:b/>
        </w:rPr>
      </w:pPr>
    </w:p>
    <w:p w14:paraId="5AB18684" w14:textId="77777777" w:rsidR="00515891" w:rsidRPr="000E44E4" w:rsidRDefault="00515891" w:rsidP="00515891">
      <w:pPr>
        <w:pStyle w:val="ListParagraph"/>
        <w:numPr>
          <w:ilvl w:val="0"/>
          <w:numId w:val="1"/>
        </w:numPr>
        <w:spacing w:after="0"/>
        <w:rPr>
          <w:b/>
        </w:rPr>
      </w:pPr>
      <w:r w:rsidRPr="000E44E4">
        <w:rPr>
          <w:b/>
        </w:rPr>
        <w:t>AUTHORITY FOR PURPOSES OF CUSTOMS ACT 1901</w:t>
      </w:r>
    </w:p>
    <w:p w14:paraId="67826A2A" w14:textId="77777777" w:rsidR="00515891" w:rsidRPr="000E44E4" w:rsidRDefault="00515891" w:rsidP="00515891">
      <w:pPr>
        <w:spacing w:after="0"/>
        <w:ind w:left="360"/>
        <w:jc w:val="both"/>
      </w:pPr>
    </w:p>
    <w:p w14:paraId="112FC2E6" w14:textId="77777777" w:rsidR="00515891" w:rsidRPr="000E44E4" w:rsidRDefault="00515891" w:rsidP="00515891">
      <w:pPr>
        <w:spacing w:after="0"/>
        <w:ind w:left="360"/>
        <w:jc w:val="both"/>
      </w:pPr>
      <w:r w:rsidRPr="000E44E4">
        <w:t xml:space="preserve">In accordance with section 181 of the </w:t>
      </w:r>
      <w:r w:rsidRPr="000E44E4">
        <w:rPr>
          <w:i/>
        </w:rPr>
        <w:t>Customs Act 1901</w:t>
      </w:r>
      <w:r w:rsidRPr="000E44E4">
        <w:t xml:space="preserve"> (</w:t>
      </w:r>
      <w:r w:rsidRPr="000E44E4">
        <w:rPr>
          <w:b/>
        </w:rPr>
        <w:t>“Customs Act”</w:t>
      </w:r>
      <w:r w:rsidRPr="000E44E4">
        <w:t xml:space="preserve">), </w:t>
      </w:r>
    </w:p>
    <w:p w14:paraId="7054ABC5" w14:textId="77777777" w:rsidR="00515891" w:rsidRPr="000E44E4" w:rsidRDefault="00515891" w:rsidP="00515891">
      <w:pPr>
        <w:spacing w:after="0"/>
        <w:ind w:left="360"/>
        <w:jc w:val="both"/>
      </w:pPr>
      <w:r w:rsidRPr="000E44E4">
        <w:rPr>
          <w:highlight w:val="yellow"/>
        </w:rPr>
        <w:t>*I/we________________________________________________________________</w:t>
      </w:r>
    </w:p>
    <w:p w14:paraId="7B4EA9EF" w14:textId="2CF7950E" w:rsidR="00515891" w:rsidRPr="000E44E4" w:rsidRDefault="00515891" w:rsidP="00515891">
      <w:pPr>
        <w:spacing w:after="0"/>
        <w:ind w:left="360"/>
        <w:jc w:val="both"/>
      </w:pPr>
      <w:r w:rsidRPr="000E44E4">
        <w:t>hereby authorize</w:t>
      </w:r>
      <w:r w:rsidR="008818AA" w:rsidRPr="008818AA">
        <w:t xml:space="preserve"> </w:t>
      </w:r>
      <w:r w:rsidR="00FC4638" w:rsidRPr="00C34700">
        <w:t>Total Global Logistics Pty Ltd,</w:t>
      </w:r>
      <w:r w:rsidR="008818AA" w:rsidRPr="00C34700">
        <w:t xml:space="preserve"> (ABN </w:t>
      </w:r>
      <w:r w:rsidR="00FC4638" w:rsidRPr="00C34700">
        <w:t xml:space="preserve">99 681 552 </w:t>
      </w:r>
      <w:proofErr w:type="gramStart"/>
      <w:r w:rsidR="00FC4638" w:rsidRPr="00C34700">
        <w:t xml:space="preserve">036 </w:t>
      </w:r>
      <w:r w:rsidR="008818AA" w:rsidRPr="00C34700">
        <w:t>)</w:t>
      </w:r>
      <w:proofErr w:type="gramEnd"/>
      <w:r w:rsidR="008818AA" w:rsidRPr="00C34700">
        <w:t>,</w:t>
      </w:r>
      <w:r w:rsidR="008818AA" w:rsidRPr="008818AA">
        <w:rPr>
          <w:b/>
          <w:bCs/>
        </w:rPr>
        <w:t xml:space="preserve"> </w:t>
      </w:r>
      <w:r w:rsidRPr="000E44E4">
        <w:t>its nominees and/or subagents as may be appointed from time to time, to act as *my/our Customs Broker for the purposes of the Customs Act (as amended from time to time), at all places in the Commonwealth.</w:t>
      </w:r>
    </w:p>
    <w:p w14:paraId="13DA4251" w14:textId="77777777" w:rsidR="00515891" w:rsidRPr="000E44E4" w:rsidRDefault="00515891" w:rsidP="00515891">
      <w:pPr>
        <w:spacing w:after="0"/>
        <w:ind w:left="360"/>
        <w:jc w:val="both"/>
      </w:pPr>
    </w:p>
    <w:p w14:paraId="372EE715" w14:textId="77777777" w:rsidR="00515891" w:rsidRPr="000E44E4" w:rsidRDefault="00515891" w:rsidP="00515891">
      <w:pPr>
        <w:pStyle w:val="ListParagraph"/>
        <w:numPr>
          <w:ilvl w:val="0"/>
          <w:numId w:val="1"/>
        </w:numPr>
        <w:jc w:val="both"/>
        <w:rPr>
          <w:b/>
        </w:rPr>
      </w:pPr>
      <w:r w:rsidRPr="000E44E4">
        <w:rPr>
          <w:b/>
        </w:rPr>
        <w:t>AUTHORITY FOR GST PURPOSES</w:t>
      </w:r>
    </w:p>
    <w:p w14:paraId="1D63D950" w14:textId="21BE14F2" w:rsidR="00515891" w:rsidRPr="000E44E4" w:rsidRDefault="00515891" w:rsidP="00D145FB">
      <w:pPr>
        <w:pStyle w:val="ListParagraph"/>
        <w:spacing w:line="240" w:lineRule="auto"/>
        <w:ind w:left="360"/>
        <w:jc w:val="both"/>
      </w:pPr>
      <w:r w:rsidRPr="00C34700">
        <w:t>In addition to the authorisation pursuant to clause 1 of this Authority, the Customer fu</w:t>
      </w:r>
      <w:r w:rsidR="004B2756" w:rsidRPr="00C34700">
        <w:t>rther authorises</w:t>
      </w:r>
      <w:r w:rsidR="001275E1" w:rsidRPr="00C34700">
        <w:t xml:space="preserve"> </w:t>
      </w:r>
      <w:r w:rsidR="00FC4638" w:rsidRPr="00C34700">
        <w:t>Total Global Logistics Pty Ltd, (ABN 99 681 552 036 )</w:t>
      </w:r>
      <w:r w:rsidR="001275E1" w:rsidRPr="00C34700">
        <w:t xml:space="preserve"> &amp; subcontract brokers or nominees, </w:t>
      </w:r>
      <w:r w:rsidR="00FC4638" w:rsidRPr="00C34700">
        <w:t>Omega Cargo Pty Ltd (ABN 65 058 568 371)</w:t>
      </w:r>
      <w:r w:rsidR="001275E1" w:rsidRPr="00C34700">
        <w:rPr>
          <w:color w:val="FF0000"/>
        </w:rPr>
        <w:t xml:space="preserve"> </w:t>
      </w:r>
      <w:r w:rsidR="004B2756" w:rsidRPr="00C34700">
        <w:t xml:space="preserve"> to </w:t>
      </w:r>
      <w:r w:rsidRPr="00C34700">
        <w:t>quote our Australian Business</w:t>
      </w:r>
      <w:r w:rsidR="007931CD" w:rsidRPr="00C34700">
        <w:t xml:space="preserve"> </w:t>
      </w:r>
      <w:r w:rsidRPr="00C34700">
        <w:t xml:space="preserve">Number </w:t>
      </w:r>
      <w:proofErr w:type="spellStart"/>
      <w:r w:rsidRPr="00C34700">
        <w:rPr>
          <w:highlight w:val="yellow"/>
        </w:rPr>
        <w:t>ABN:____________________________</w:t>
      </w:r>
      <w:r w:rsidRPr="000E44E4">
        <w:t>as</w:t>
      </w:r>
      <w:proofErr w:type="spellEnd"/>
      <w:r w:rsidRPr="000E44E4">
        <w:t xml:space="preserve"> may be required by the Australian Taxation Office and </w:t>
      </w:r>
      <w:r w:rsidRPr="000E44E4">
        <w:rPr>
          <w:i/>
        </w:rPr>
        <w:t xml:space="preserve">A New Tax System (Goods &amp; Service Tax) Act 1999 </w:t>
      </w:r>
      <w:r w:rsidRPr="000E44E4">
        <w:t>and any other related legislation in respect of:</w:t>
      </w:r>
    </w:p>
    <w:p w14:paraId="1A948CE2" w14:textId="77777777" w:rsidR="00515891" w:rsidRPr="000E44E4" w:rsidRDefault="00515891" w:rsidP="00D145FB">
      <w:pPr>
        <w:pStyle w:val="ListParagraph"/>
        <w:numPr>
          <w:ilvl w:val="0"/>
          <w:numId w:val="2"/>
        </w:numPr>
        <w:spacing w:line="240" w:lineRule="auto"/>
        <w:jc w:val="both"/>
      </w:pPr>
      <w:r w:rsidRPr="000E44E4">
        <w:t>Imported goods at the time of making the entry for home consumption Import Entry, Import Declaration or other form of reporting to the Australian Customs &amp; Border Protection Service (</w:t>
      </w:r>
      <w:r w:rsidRPr="000E44E4">
        <w:rPr>
          <w:b/>
        </w:rPr>
        <w:t>“Customs”</w:t>
      </w:r>
      <w:r w:rsidRPr="000E44E4">
        <w:t>); and</w:t>
      </w:r>
    </w:p>
    <w:p w14:paraId="4FED8421" w14:textId="77777777" w:rsidR="00515891" w:rsidRPr="000E44E4" w:rsidRDefault="00515891" w:rsidP="00D145FB">
      <w:pPr>
        <w:pStyle w:val="ListParagraph"/>
        <w:numPr>
          <w:ilvl w:val="0"/>
          <w:numId w:val="2"/>
        </w:numPr>
        <w:spacing w:before="240" w:line="240" w:lineRule="auto"/>
        <w:jc w:val="both"/>
      </w:pPr>
      <w:r w:rsidRPr="000E44E4">
        <w:t>Exported goods at the time of making the Export Entry, Export Declaration or other form of reporting to Customs.</w:t>
      </w:r>
    </w:p>
    <w:p w14:paraId="65F2D182" w14:textId="77777777" w:rsidR="00515891" w:rsidRPr="000E44E4" w:rsidRDefault="00515891" w:rsidP="00515891">
      <w:pPr>
        <w:pStyle w:val="ListParagraph"/>
        <w:numPr>
          <w:ilvl w:val="0"/>
          <w:numId w:val="1"/>
        </w:numPr>
        <w:spacing w:before="240"/>
        <w:jc w:val="both"/>
        <w:rPr>
          <w:b/>
        </w:rPr>
      </w:pPr>
      <w:r w:rsidRPr="000E44E4">
        <w:rPr>
          <w:b/>
        </w:rPr>
        <w:t>AUTHORITY FOR ALL OTHER LEGISLATIVE PURPOSES</w:t>
      </w:r>
    </w:p>
    <w:p w14:paraId="2F5C5B2B" w14:textId="77777777" w:rsidR="00515891" w:rsidRDefault="00515891" w:rsidP="00515891">
      <w:pPr>
        <w:pStyle w:val="ListParagraph"/>
        <w:spacing w:before="240"/>
        <w:ind w:left="360"/>
        <w:jc w:val="both"/>
      </w:pPr>
      <w:r w:rsidRPr="000E44E4">
        <w:t xml:space="preserve">Without limiting the generality of the authorisation and appointment pursuant to </w:t>
      </w:r>
      <w:r w:rsidRPr="000E44E4">
        <w:rPr>
          <w:b/>
        </w:rPr>
        <w:t>clauses 1 and 2</w:t>
      </w:r>
      <w:r w:rsidRPr="000E44E4">
        <w:t xml:space="preserve"> of this Authority, the Customer appoints the Company to act on behalf of the Customer for all purposes contemplated by any Customs Related Law (as that term is defined in the Customs Act) and for any purpose required to assist with import, export or transportation of the goods of the Customer.</w:t>
      </w:r>
    </w:p>
    <w:p w14:paraId="7760D65D" w14:textId="77777777" w:rsidR="00515891" w:rsidRPr="00515891" w:rsidRDefault="00515891" w:rsidP="00515891">
      <w:pPr>
        <w:pStyle w:val="ListParagraph"/>
        <w:numPr>
          <w:ilvl w:val="0"/>
          <w:numId w:val="1"/>
        </w:numPr>
        <w:spacing w:before="240"/>
        <w:jc w:val="both"/>
        <w:rPr>
          <w:b/>
        </w:rPr>
      </w:pPr>
      <w:r w:rsidRPr="00515891">
        <w:rPr>
          <w:b/>
        </w:rPr>
        <w:t>AUTHORITY FOR RELATED PURPOSES</w:t>
      </w:r>
    </w:p>
    <w:p w14:paraId="590CB674" w14:textId="77777777" w:rsidR="00515891" w:rsidRPr="000E44E4" w:rsidRDefault="00515891" w:rsidP="00515891">
      <w:pPr>
        <w:pStyle w:val="ListParagraph"/>
        <w:spacing w:before="240"/>
        <w:ind w:left="360"/>
        <w:jc w:val="both"/>
      </w:pPr>
      <w:r w:rsidRPr="000E44E4">
        <w:t xml:space="preserve">The authorisation and appointments in </w:t>
      </w:r>
      <w:r w:rsidRPr="000E44E4">
        <w:rPr>
          <w:b/>
        </w:rPr>
        <w:t xml:space="preserve">clauses 1, 2 and 3 </w:t>
      </w:r>
      <w:r w:rsidRPr="000E44E4">
        <w:t>of this Authority extend to authority to the Company to attend to all other actions requested by Customs related to the clearance, carriage and delivery of any goods.</w:t>
      </w:r>
    </w:p>
    <w:p w14:paraId="57C065F8" w14:textId="77777777" w:rsidR="00515891" w:rsidRPr="000E44E4" w:rsidRDefault="00515891" w:rsidP="00515891">
      <w:pPr>
        <w:pStyle w:val="ListParagraph"/>
        <w:numPr>
          <w:ilvl w:val="0"/>
          <w:numId w:val="1"/>
        </w:numPr>
        <w:spacing w:before="240"/>
        <w:jc w:val="both"/>
        <w:rPr>
          <w:b/>
        </w:rPr>
      </w:pPr>
      <w:r w:rsidRPr="000E44E4">
        <w:rPr>
          <w:b/>
        </w:rPr>
        <w:t>ACCEPTANCE OF TRADING CONDITIONS</w:t>
      </w:r>
    </w:p>
    <w:p w14:paraId="0B14AF2B" w14:textId="7036E77B" w:rsidR="00515891" w:rsidRPr="000E44E4" w:rsidRDefault="00515891" w:rsidP="00515891">
      <w:pPr>
        <w:pStyle w:val="ListParagraph"/>
        <w:numPr>
          <w:ilvl w:val="1"/>
          <w:numId w:val="1"/>
        </w:numPr>
        <w:spacing w:before="240"/>
        <w:jc w:val="both"/>
      </w:pPr>
      <w:r w:rsidRPr="000E44E4">
        <w:t xml:space="preserve">The customer agrees that all transactions undertaken by the Company, its nominees and/or its agents on behalf of the Customer and done so subject to </w:t>
      </w:r>
      <w:r w:rsidR="00DC5745">
        <w:t xml:space="preserve">version 2 of </w:t>
      </w:r>
      <w:r w:rsidRPr="000E44E4">
        <w:t>the Standard Terms and Trading Conditions of the Company which are annexed (</w:t>
      </w:r>
      <w:r w:rsidRPr="000E44E4">
        <w:rPr>
          <w:b/>
        </w:rPr>
        <w:t>“</w:t>
      </w:r>
      <w:r w:rsidR="0047463A" w:rsidRPr="0047463A">
        <w:rPr>
          <w:b/>
        </w:rPr>
        <w:t>STANDARD TERMS AND TRADING CONDITIONS</w:t>
      </w:r>
      <w:r w:rsidR="0047463A">
        <w:rPr>
          <w:b/>
        </w:rPr>
        <w:t>”</w:t>
      </w:r>
      <w:r w:rsidRPr="000E44E4">
        <w:t>) and receipt of which is hereby acknowledged.</w:t>
      </w:r>
    </w:p>
    <w:p w14:paraId="3390B075" w14:textId="77777777" w:rsidR="00515891" w:rsidRPr="000E44E4" w:rsidRDefault="00515891" w:rsidP="00515891">
      <w:pPr>
        <w:pStyle w:val="ListParagraph"/>
        <w:numPr>
          <w:ilvl w:val="1"/>
          <w:numId w:val="1"/>
        </w:numPr>
        <w:spacing w:before="240"/>
        <w:jc w:val="both"/>
      </w:pPr>
      <w:r w:rsidRPr="000E44E4">
        <w:t>The Customer agrees that it accepts to be bound by this Authority and the Trading Conditions.</w:t>
      </w:r>
    </w:p>
    <w:p w14:paraId="50CE35F2" w14:textId="77777777" w:rsidR="00515891" w:rsidRDefault="00515891" w:rsidP="00515891">
      <w:pPr>
        <w:pStyle w:val="ListParagraph"/>
        <w:numPr>
          <w:ilvl w:val="1"/>
          <w:numId w:val="1"/>
        </w:numPr>
        <w:spacing w:before="240"/>
        <w:jc w:val="both"/>
      </w:pPr>
      <w:r w:rsidRPr="000E44E4">
        <w:t xml:space="preserve">The Authorised Signatory whose name is set out below warrants that it is authorised to </w:t>
      </w:r>
      <w:proofErr w:type="gramStart"/>
      <w:r w:rsidRPr="000E44E4">
        <w:t>enter into</w:t>
      </w:r>
      <w:proofErr w:type="gramEnd"/>
      <w:r w:rsidRPr="000E44E4">
        <w:t xml:space="preserve"> this Authority on behalf of the Customer.</w:t>
      </w:r>
    </w:p>
    <w:p w14:paraId="38D700CA" w14:textId="77777777" w:rsidR="00426137" w:rsidRPr="000E44E4" w:rsidRDefault="00426137" w:rsidP="00426137">
      <w:pPr>
        <w:spacing w:before="240"/>
        <w:jc w:val="both"/>
      </w:pPr>
    </w:p>
    <w:p w14:paraId="11F85CA9" w14:textId="77777777" w:rsidR="00515891" w:rsidRPr="000E44E4" w:rsidRDefault="00515891" w:rsidP="00515891">
      <w:pPr>
        <w:pStyle w:val="ListParagraph"/>
        <w:numPr>
          <w:ilvl w:val="1"/>
          <w:numId w:val="1"/>
        </w:numPr>
        <w:spacing w:before="240"/>
        <w:jc w:val="both"/>
      </w:pPr>
      <w:r w:rsidRPr="000E44E4">
        <w:lastRenderedPageBreak/>
        <w:t xml:space="preserve">The Company acknowledged and </w:t>
      </w:r>
      <w:proofErr w:type="gramStart"/>
      <w:r w:rsidRPr="000E44E4">
        <w:t>accepts</w:t>
      </w:r>
      <w:proofErr w:type="gramEnd"/>
      <w:r w:rsidRPr="000E44E4">
        <w:t xml:space="preserve"> that Australian Customs legislation and practices requires all licensed Customs Brokers to advise the Australian Customs and Border Protection Service (ACS) if they become aware of information that has been provided to Customs by or on behalf of a client of the broker is false, misleading or incomplete. The broker must, as soon as practicable after becoming aware of the error or omission, provide written particulars of the incident to the Chief Executive Officer of Customs.</w:t>
      </w:r>
    </w:p>
    <w:p w14:paraId="00076769" w14:textId="3045E3E5" w:rsidR="00515891" w:rsidRPr="000E44E4" w:rsidRDefault="00515891" w:rsidP="00515891">
      <w:pPr>
        <w:pStyle w:val="ListParagraph"/>
        <w:numPr>
          <w:ilvl w:val="1"/>
          <w:numId w:val="1"/>
        </w:numPr>
        <w:spacing w:before="240"/>
        <w:jc w:val="both"/>
      </w:pPr>
      <w:r w:rsidRPr="000E44E4">
        <w:t xml:space="preserve">The Company acknowledges that any information proffered by </w:t>
      </w:r>
      <w:r w:rsidR="00091BFA">
        <w:rPr>
          <w:rFonts w:cs="Arial"/>
          <w:spacing w:val="-4"/>
        </w:rPr>
        <w:t>Total Global Logistics Pty Ltd</w:t>
      </w:r>
      <w:r w:rsidRPr="000E44E4">
        <w:t xml:space="preserve"> in the respect of customs duties including but not limited to tariff classification, cust</w:t>
      </w:r>
      <w:r>
        <w:t xml:space="preserve">oms valuation and country of </w:t>
      </w:r>
      <w:r w:rsidRPr="000E44E4">
        <w:t xml:space="preserve">origin requirements is opinion only. The Company acknowledges that the only organisation able to provide binding rulings is the Australian Customs &amp; Border Protection Service (ACS). Neither </w:t>
      </w:r>
      <w:r w:rsidR="00091BFA">
        <w:rPr>
          <w:rFonts w:cs="Arial"/>
          <w:spacing w:val="-4"/>
        </w:rPr>
        <w:t>Total Global Logistics Pty Ltd</w:t>
      </w:r>
      <w:r w:rsidR="007931CD" w:rsidRPr="000E44E4">
        <w:t xml:space="preserve"> </w:t>
      </w:r>
      <w:r w:rsidRPr="000E44E4">
        <w:t>nor any of its principals, employees or associates accepts responsibility for the accuracy of any advice that is not subsequently verified by a ruling from the ACS.</w:t>
      </w:r>
    </w:p>
    <w:p w14:paraId="3716DA79" w14:textId="4D0C8FFE" w:rsidR="00515891" w:rsidRDefault="00515891" w:rsidP="00515891">
      <w:pPr>
        <w:pStyle w:val="ListParagraph"/>
        <w:numPr>
          <w:ilvl w:val="1"/>
          <w:numId w:val="1"/>
        </w:numPr>
        <w:spacing w:before="240"/>
        <w:jc w:val="both"/>
      </w:pPr>
      <w:r w:rsidRPr="000E44E4">
        <w:t xml:space="preserve">In </w:t>
      </w:r>
      <w:proofErr w:type="gramStart"/>
      <w:r w:rsidRPr="000E44E4">
        <w:t>addition</w:t>
      </w:r>
      <w:proofErr w:type="gramEnd"/>
      <w:r w:rsidRPr="000E44E4">
        <w:t xml:space="preserve"> we acknowledge that it is solely The Company’s responsibility, as the owner of the imported goods to instruct, where feasible, </w:t>
      </w:r>
      <w:r w:rsidR="00091BFA">
        <w:rPr>
          <w:rFonts w:cs="Arial"/>
          <w:spacing w:val="-4"/>
        </w:rPr>
        <w:t>Total Global Logistics Pty Ltd</w:t>
      </w:r>
      <w:r w:rsidR="00891595" w:rsidRPr="000E44E4">
        <w:t xml:space="preserve"> </w:t>
      </w:r>
      <w:r w:rsidRPr="000E44E4">
        <w:t>to seek duty relief under an appropriate Australian Government concession provision.</w:t>
      </w:r>
    </w:p>
    <w:p w14:paraId="61108137" w14:textId="7EC74D2E" w:rsidR="00515891" w:rsidRPr="000E44E4" w:rsidRDefault="00515891" w:rsidP="00515891">
      <w:pPr>
        <w:pStyle w:val="ListParagraph"/>
        <w:numPr>
          <w:ilvl w:val="1"/>
          <w:numId w:val="1"/>
        </w:numPr>
        <w:spacing w:before="240"/>
        <w:jc w:val="both"/>
      </w:pPr>
      <w:r w:rsidRPr="000E44E4">
        <w:t xml:space="preserve">The Company acknowledges that we have been provided with a copy of the standard Trading Conditions of </w:t>
      </w:r>
      <w:r w:rsidR="00871436">
        <w:rPr>
          <w:rFonts w:cs="Arial"/>
          <w:spacing w:val="-4"/>
        </w:rPr>
        <w:t xml:space="preserve">Total Global Logistics Pty Ltd </w:t>
      </w:r>
      <w:r w:rsidRPr="000E44E4">
        <w:t xml:space="preserve">(and its subsidiary and/or associated companies or agents) and is aware that in acting in its capacity as our agent </w:t>
      </w:r>
      <w:r w:rsidR="00F20259">
        <w:t>Omega Cargo Pty Ltd</w:t>
      </w:r>
      <w:r w:rsidR="00F20259" w:rsidRPr="000E44E4">
        <w:t xml:space="preserve"> </w:t>
      </w:r>
      <w:r w:rsidRPr="000E44E4">
        <w:t>is entitled to ear and retain profits and commissions customarily associated with their business.</w:t>
      </w:r>
    </w:p>
    <w:p w14:paraId="513A0FA5" w14:textId="77777777" w:rsidR="00515891" w:rsidRPr="000E44E4" w:rsidRDefault="00515891" w:rsidP="00515891">
      <w:pPr>
        <w:pStyle w:val="ListParagraph"/>
        <w:numPr>
          <w:ilvl w:val="0"/>
          <w:numId w:val="1"/>
        </w:numPr>
        <w:spacing w:before="240"/>
        <w:jc w:val="both"/>
        <w:rPr>
          <w:b/>
        </w:rPr>
      </w:pPr>
      <w:r w:rsidRPr="000E44E4">
        <w:rPr>
          <w:b/>
        </w:rPr>
        <w:t>INCONSISTENCY</w:t>
      </w:r>
    </w:p>
    <w:p w14:paraId="3B76FFAA" w14:textId="77777777" w:rsidR="00515891" w:rsidRPr="000E44E4" w:rsidRDefault="00515891" w:rsidP="00515891">
      <w:pPr>
        <w:pStyle w:val="ListParagraph"/>
        <w:spacing w:before="240"/>
        <w:ind w:left="360"/>
        <w:jc w:val="both"/>
      </w:pPr>
      <w:r w:rsidRPr="000E44E4">
        <w:t>Where there is an inconsistency between the terms and conditions or the Trading Conditions, and Customer Credit Application, any fee quotation estimate or agreement and the terms and conditions of this Authority, the relevant documents shall be construed in the following order of priority:</w:t>
      </w:r>
    </w:p>
    <w:p w14:paraId="5F3AE49D" w14:textId="77777777" w:rsidR="00515891" w:rsidRPr="000E44E4" w:rsidRDefault="00515891" w:rsidP="00515891">
      <w:pPr>
        <w:pStyle w:val="ListParagraph"/>
        <w:numPr>
          <w:ilvl w:val="0"/>
          <w:numId w:val="3"/>
        </w:numPr>
        <w:spacing w:before="240"/>
        <w:jc w:val="both"/>
      </w:pPr>
      <w:r w:rsidRPr="000E44E4">
        <w:t xml:space="preserve">the Trading </w:t>
      </w:r>
      <w:proofErr w:type="gramStart"/>
      <w:r w:rsidRPr="000E44E4">
        <w:t>Conditions;</w:t>
      </w:r>
      <w:proofErr w:type="gramEnd"/>
    </w:p>
    <w:p w14:paraId="71613C4A" w14:textId="77777777" w:rsidR="00515891" w:rsidRPr="000E44E4" w:rsidRDefault="00515891" w:rsidP="00515891">
      <w:pPr>
        <w:pStyle w:val="ListParagraph"/>
        <w:numPr>
          <w:ilvl w:val="0"/>
          <w:numId w:val="3"/>
        </w:numPr>
        <w:spacing w:before="240"/>
        <w:jc w:val="both"/>
      </w:pPr>
      <w:r w:rsidRPr="000E44E4">
        <w:t xml:space="preserve">this </w:t>
      </w:r>
      <w:proofErr w:type="gramStart"/>
      <w:r w:rsidRPr="000E44E4">
        <w:t>Authority;</w:t>
      </w:r>
      <w:proofErr w:type="gramEnd"/>
    </w:p>
    <w:p w14:paraId="3A52DA3F" w14:textId="77777777" w:rsidR="00515891" w:rsidRPr="000E44E4" w:rsidRDefault="00515891" w:rsidP="00515891">
      <w:pPr>
        <w:pStyle w:val="ListParagraph"/>
        <w:numPr>
          <w:ilvl w:val="0"/>
          <w:numId w:val="3"/>
        </w:numPr>
        <w:spacing w:before="240"/>
        <w:jc w:val="both"/>
      </w:pPr>
      <w:r w:rsidRPr="000E44E4">
        <w:t xml:space="preserve">any customer credit application with the </w:t>
      </w:r>
      <w:proofErr w:type="gramStart"/>
      <w:r w:rsidRPr="000E44E4">
        <w:t>Company;</w:t>
      </w:r>
      <w:proofErr w:type="gramEnd"/>
    </w:p>
    <w:p w14:paraId="178B6401" w14:textId="77777777" w:rsidR="00515891" w:rsidRPr="000E44E4" w:rsidRDefault="00515891" w:rsidP="00515891">
      <w:pPr>
        <w:pStyle w:val="ListParagraph"/>
        <w:numPr>
          <w:ilvl w:val="0"/>
          <w:numId w:val="3"/>
        </w:numPr>
        <w:spacing w:before="240"/>
        <w:jc w:val="both"/>
      </w:pPr>
      <w:r w:rsidRPr="000E44E4">
        <w:t xml:space="preserve">any fee quotation </w:t>
      </w:r>
      <w:proofErr w:type="gramStart"/>
      <w:r w:rsidRPr="000E44E4">
        <w:t>estimate</w:t>
      </w:r>
      <w:proofErr w:type="gramEnd"/>
      <w:r w:rsidRPr="000E44E4">
        <w:t xml:space="preserve"> or agreement</w:t>
      </w:r>
    </w:p>
    <w:p w14:paraId="598827EB" w14:textId="77777777" w:rsidR="00515891" w:rsidRPr="000E44E4" w:rsidRDefault="00515891" w:rsidP="00515891">
      <w:pPr>
        <w:pStyle w:val="ListParagraph"/>
        <w:numPr>
          <w:ilvl w:val="0"/>
          <w:numId w:val="1"/>
        </w:numPr>
        <w:spacing w:before="240"/>
        <w:jc w:val="both"/>
        <w:rPr>
          <w:b/>
        </w:rPr>
      </w:pPr>
      <w:r w:rsidRPr="000E44E4">
        <w:rPr>
          <w:b/>
        </w:rPr>
        <w:t>TERM OF AUTHORISATION</w:t>
      </w:r>
    </w:p>
    <w:p w14:paraId="57704CFE" w14:textId="77777777" w:rsidR="00515891" w:rsidRPr="000E44E4" w:rsidRDefault="00515891" w:rsidP="00515891">
      <w:pPr>
        <w:pStyle w:val="ListParagraph"/>
        <w:spacing w:before="240"/>
        <w:ind w:left="360"/>
        <w:jc w:val="both"/>
      </w:pPr>
      <w:r w:rsidRPr="000E44E4">
        <w:t>The Company and the Customer agree that this Authority will apply from the time of this Authority until properly terminated by either party in writing.</w:t>
      </w:r>
    </w:p>
    <w:p w14:paraId="0A469853" w14:textId="77777777" w:rsidR="00515891" w:rsidRPr="000E44E4" w:rsidRDefault="00515891" w:rsidP="00515891">
      <w:pPr>
        <w:pStyle w:val="ListParagraph"/>
        <w:numPr>
          <w:ilvl w:val="0"/>
          <w:numId w:val="1"/>
        </w:numPr>
        <w:spacing w:before="240"/>
        <w:jc w:val="both"/>
        <w:rPr>
          <w:b/>
        </w:rPr>
      </w:pPr>
      <w:r w:rsidRPr="000E44E4">
        <w:rPr>
          <w:b/>
        </w:rPr>
        <w:t>LAW &amp; JURISTICTION</w:t>
      </w:r>
    </w:p>
    <w:p w14:paraId="514E58C8" w14:textId="77777777" w:rsidR="00515891" w:rsidRDefault="00515891" w:rsidP="00515891">
      <w:pPr>
        <w:pStyle w:val="ListParagraph"/>
        <w:spacing w:before="240"/>
        <w:ind w:left="360"/>
        <w:jc w:val="both"/>
      </w:pPr>
      <w:r w:rsidRPr="000E44E4">
        <w:t>This acknowledgement shall be governed and construed in accordance with the laws of Western Australia</w:t>
      </w:r>
      <w:r>
        <w:t>.</w:t>
      </w:r>
    </w:p>
    <w:p w14:paraId="77C38D5C" w14:textId="77777777" w:rsidR="00E65EF1" w:rsidRDefault="00E65EF1" w:rsidP="00515891">
      <w:pPr>
        <w:spacing w:before="240"/>
        <w:jc w:val="both"/>
      </w:pPr>
    </w:p>
    <w:p w14:paraId="062AF5E5" w14:textId="77777777" w:rsidR="00E65EF1" w:rsidRDefault="00E65EF1" w:rsidP="00515891">
      <w:pPr>
        <w:spacing w:before="240"/>
        <w:jc w:val="both"/>
      </w:pPr>
    </w:p>
    <w:p w14:paraId="6158D402" w14:textId="77777777" w:rsidR="00410F53" w:rsidRDefault="00410F53" w:rsidP="00515891">
      <w:pPr>
        <w:spacing w:before="240"/>
        <w:jc w:val="both"/>
      </w:pPr>
    </w:p>
    <w:p w14:paraId="14BB2CBA" w14:textId="77777777" w:rsidR="00410F53" w:rsidRDefault="00410F53" w:rsidP="00515891">
      <w:pPr>
        <w:spacing w:before="240"/>
        <w:jc w:val="both"/>
      </w:pPr>
    </w:p>
    <w:p w14:paraId="45B0C613" w14:textId="2412F418" w:rsidR="00515891" w:rsidRPr="000E44E4" w:rsidRDefault="00515891" w:rsidP="00515891">
      <w:pPr>
        <w:spacing w:before="240"/>
        <w:jc w:val="both"/>
      </w:pPr>
      <w:r w:rsidRPr="000E44E4">
        <w:lastRenderedPageBreak/>
        <w:t>Dated:</w:t>
      </w:r>
      <w:r w:rsidRPr="000E44E4">
        <w:tab/>
      </w:r>
      <w:r w:rsidRPr="00022F7B">
        <w:rPr>
          <w:highlight w:val="yellow"/>
        </w:rPr>
        <w:t>______________________</w:t>
      </w:r>
    </w:p>
    <w:p w14:paraId="29ABA371" w14:textId="77777777" w:rsidR="00515891" w:rsidRDefault="00515891" w:rsidP="00515891">
      <w:pPr>
        <w:spacing w:after="0"/>
        <w:jc w:val="both"/>
      </w:pPr>
    </w:p>
    <w:p w14:paraId="2D316979" w14:textId="77777777" w:rsidR="004856F2" w:rsidRDefault="004856F2" w:rsidP="00515891">
      <w:pPr>
        <w:spacing w:after="0"/>
        <w:jc w:val="both"/>
      </w:pPr>
    </w:p>
    <w:p w14:paraId="578CB6FE" w14:textId="77777777" w:rsidR="004856F2" w:rsidRDefault="004856F2" w:rsidP="00515891">
      <w:pPr>
        <w:spacing w:after="0"/>
        <w:jc w:val="both"/>
      </w:pPr>
    </w:p>
    <w:p w14:paraId="38A9E60A" w14:textId="5BA80320" w:rsidR="00515891" w:rsidRPr="000E44E4" w:rsidRDefault="00515891" w:rsidP="00515891">
      <w:pPr>
        <w:spacing w:after="0"/>
        <w:jc w:val="both"/>
      </w:pPr>
      <w:r w:rsidRPr="00022F7B">
        <w:rPr>
          <w:highlight w:val="yellow"/>
        </w:rPr>
        <w:t>_____________________________</w:t>
      </w:r>
      <w:r w:rsidRPr="000E44E4">
        <w:tab/>
      </w:r>
      <w:r w:rsidRPr="000E44E4">
        <w:tab/>
      </w:r>
      <w:r w:rsidRPr="000E44E4">
        <w:tab/>
      </w:r>
      <w:r w:rsidRPr="000E44E4">
        <w:tab/>
      </w:r>
      <w:r w:rsidRPr="00022F7B">
        <w:rPr>
          <w:highlight w:val="yellow"/>
        </w:rPr>
        <w:t>_____________________________</w:t>
      </w:r>
    </w:p>
    <w:p w14:paraId="68EAEC1D" w14:textId="57F9ECFE" w:rsidR="00515891" w:rsidRPr="000E44E4" w:rsidRDefault="00515891" w:rsidP="00515891">
      <w:pPr>
        <w:spacing w:after="0"/>
        <w:jc w:val="both"/>
      </w:pPr>
      <w:r w:rsidRPr="000E44E4">
        <w:t>Signat</w:t>
      </w:r>
      <w:r w:rsidR="004856F2">
        <w:t>ure</w:t>
      </w:r>
      <w:r w:rsidRPr="000E44E4">
        <w:tab/>
      </w:r>
      <w:r w:rsidRPr="000E44E4">
        <w:tab/>
      </w:r>
      <w:r w:rsidRPr="000E44E4">
        <w:tab/>
      </w:r>
      <w:r w:rsidRPr="000E44E4">
        <w:tab/>
      </w:r>
      <w:r w:rsidRPr="000E44E4">
        <w:tab/>
      </w:r>
      <w:r w:rsidRPr="000E44E4">
        <w:tab/>
      </w:r>
      <w:r w:rsidR="004856F2">
        <w:tab/>
      </w:r>
      <w:r w:rsidRPr="000E44E4">
        <w:t>Position with</w:t>
      </w:r>
      <w:r w:rsidR="004856F2">
        <w:t>in the Company</w:t>
      </w:r>
    </w:p>
    <w:p w14:paraId="1771169D" w14:textId="77777777" w:rsidR="00515891" w:rsidRDefault="00515891" w:rsidP="00515891">
      <w:pPr>
        <w:spacing w:after="0"/>
        <w:jc w:val="both"/>
      </w:pPr>
    </w:p>
    <w:p w14:paraId="38437B5E" w14:textId="77777777" w:rsidR="004856F2" w:rsidRDefault="004856F2" w:rsidP="00515891">
      <w:pPr>
        <w:spacing w:after="0"/>
        <w:jc w:val="both"/>
      </w:pPr>
    </w:p>
    <w:p w14:paraId="687D4519" w14:textId="47132402" w:rsidR="00515891" w:rsidRPr="000E44E4" w:rsidRDefault="00515891" w:rsidP="00515891">
      <w:pPr>
        <w:spacing w:after="0"/>
        <w:jc w:val="both"/>
      </w:pPr>
      <w:r w:rsidRPr="00022F7B">
        <w:rPr>
          <w:highlight w:val="yellow"/>
        </w:rPr>
        <w:t>____________________________</w:t>
      </w:r>
      <w:r w:rsidRPr="000E44E4">
        <w:t>_</w:t>
      </w:r>
      <w:r w:rsidRPr="000E44E4">
        <w:tab/>
      </w:r>
      <w:r w:rsidRPr="000E44E4">
        <w:tab/>
      </w:r>
      <w:r w:rsidRPr="000E44E4">
        <w:tab/>
      </w:r>
      <w:r w:rsidRPr="000E44E4">
        <w:tab/>
      </w:r>
    </w:p>
    <w:p w14:paraId="28D0B589" w14:textId="558AC0CC" w:rsidR="00346A2A" w:rsidRDefault="00515891" w:rsidP="004B2756">
      <w:pPr>
        <w:spacing w:after="0"/>
        <w:jc w:val="both"/>
      </w:pPr>
      <w:r w:rsidRPr="000E44E4">
        <w:t>Full name of Author</w:t>
      </w:r>
      <w:r>
        <w:t>ised Signatory</w:t>
      </w:r>
      <w:r>
        <w:tab/>
      </w:r>
      <w:r>
        <w:tab/>
      </w:r>
      <w:r>
        <w:tab/>
      </w:r>
      <w:r>
        <w:tab/>
      </w:r>
    </w:p>
    <w:sectPr w:rsidR="00346A2A" w:rsidSect="00410F53">
      <w:headerReference w:type="default" r:id="rId12"/>
      <w:footerReference w:type="default" r:id="rId13"/>
      <w:pgSz w:w="11906" w:h="16838"/>
      <w:pgMar w:top="1440" w:right="707" w:bottom="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2E41C" w14:textId="77777777" w:rsidR="002420D3" w:rsidRDefault="002420D3" w:rsidP="00B925DB">
      <w:pPr>
        <w:spacing w:after="0" w:line="240" w:lineRule="auto"/>
      </w:pPr>
      <w:r>
        <w:separator/>
      </w:r>
    </w:p>
  </w:endnote>
  <w:endnote w:type="continuationSeparator" w:id="0">
    <w:p w14:paraId="390A1CD5" w14:textId="77777777" w:rsidR="002420D3" w:rsidRDefault="002420D3" w:rsidP="00B92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C14DF" w14:textId="3B5EF2BC" w:rsidR="00B925DB" w:rsidRDefault="00B925DB" w:rsidP="005623C2">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09B72" w14:textId="77777777" w:rsidR="002420D3" w:rsidRDefault="002420D3" w:rsidP="00B925DB">
      <w:pPr>
        <w:spacing w:after="0" w:line="240" w:lineRule="auto"/>
      </w:pPr>
      <w:r>
        <w:separator/>
      </w:r>
    </w:p>
  </w:footnote>
  <w:footnote w:type="continuationSeparator" w:id="0">
    <w:p w14:paraId="26EDE26C" w14:textId="77777777" w:rsidR="002420D3" w:rsidRDefault="002420D3" w:rsidP="00B92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AE495" w14:textId="7331F1FC" w:rsidR="00B925DB" w:rsidRDefault="00FC4638" w:rsidP="00410F53">
    <w:pPr>
      <w:pStyle w:val="Header"/>
      <w:jc w:val="right"/>
    </w:pPr>
    <w:r>
      <w:rPr>
        <w:rFonts w:ascii="Arial" w:hAnsi="Arial" w:cs="Arial"/>
        <w:b/>
        <w:noProof/>
        <w:sz w:val="16"/>
        <w:szCs w:val="16"/>
      </w:rPr>
      <w:drawing>
        <wp:inline distT="0" distB="0" distL="0" distR="0" wp14:anchorId="5E1D3732" wp14:editId="2E5D38F7">
          <wp:extent cx="2562225" cy="284480"/>
          <wp:effectExtent l="0" t="0" r="9525" b="1270"/>
          <wp:docPr id="527348817" name="Picture 527348817" descr="A black background with gol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348817" name="Picture 527348817" descr="A black background with gol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63848" cy="295763"/>
                  </a:xfrm>
                  <a:prstGeom prst="rect">
                    <a:avLst/>
                  </a:prstGeom>
                </pic:spPr>
              </pic:pic>
            </a:graphicData>
          </a:graphic>
        </wp:inline>
      </w:drawing>
    </w:r>
    <w:r w:rsidR="0042613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31472"/>
    <w:multiLevelType w:val="multilevel"/>
    <w:tmpl w:val="F8C0759E"/>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 w15:restartNumberingAfterBreak="0">
    <w:nsid w:val="0ED700EF"/>
    <w:multiLevelType w:val="hybridMultilevel"/>
    <w:tmpl w:val="31304676"/>
    <w:lvl w:ilvl="0" w:tplc="98686334">
      <w:start w:val="1"/>
      <w:numFmt w:val="lowerLetter"/>
      <w:lvlText w:val="(%1)"/>
      <w:lvlJc w:val="left"/>
      <w:pPr>
        <w:ind w:left="1080" w:hanging="360"/>
      </w:pPr>
      <w:rPr>
        <w:rFonts w:ascii="Times New Roman" w:eastAsia="Times New Roman" w:hAnsi="Times New Roman" w:cs="Times New Roman"/>
      </w:rPr>
    </w:lvl>
    <w:lvl w:ilvl="1" w:tplc="0C090019">
      <w:start w:val="1"/>
      <w:numFmt w:val="lowerLetter"/>
      <w:lvlText w:val="%2."/>
      <w:lvlJc w:val="left"/>
      <w:pPr>
        <w:ind w:left="1800" w:hanging="360"/>
      </w:pPr>
      <w:rPr>
        <w:rFonts w:cs="Times New Roman"/>
      </w:rPr>
    </w:lvl>
    <w:lvl w:ilvl="2" w:tplc="0C09001B">
      <w:start w:val="1"/>
      <w:numFmt w:val="lowerRoman"/>
      <w:lvlText w:val="%3."/>
      <w:lvlJc w:val="right"/>
      <w:pPr>
        <w:ind w:left="2520" w:hanging="180"/>
      </w:pPr>
      <w:rPr>
        <w:rFonts w:cs="Times New Roman"/>
      </w:rPr>
    </w:lvl>
    <w:lvl w:ilvl="3" w:tplc="0C09000F">
      <w:start w:val="1"/>
      <w:numFmt w:val="decimal"/>
      <w:lvlText w:val="%4."/>
      <w:lvlJc w:val="left"/>
      <w:pPr>
        <w:ind w:left="3240" w:hanging="360"/>
      </w:pPr>
      <w:rPr>
        <w:rFonts w:cs="Times New Roman"/>
      </w:rPr>
    </w:lvl>
    <w:lvl w:ilvl="4" w:tplc="0C090019">
      <w:start w:val="1"/>
      <w:numFmt w:val="lowerLetter"/>
      <w:lvlText w:val="%5."/>
      <w:lvlJc w:val="left"/>
      <w:pPr>
        <w:ind w:left="3960" w:hanging="360"/>
      </w:pPr>
      <w:rPr>
        <w:rFonts w:cs="Times New Roman"/>
      </w:rPr>
    </w:lvl>
    <w:lvl w:ilvl="5" w:tplc="0C09001B">
      <w:start w:val="1"/>
      <w:numFmt w:val="lowerRoman"/>
      <w:lvlText w:val="%6."/>
      <w:lvlJc w:val="right"/>
      <w:pPr>
        <w:ind w:left="4680" w:hanging="180"/>
      </w:pPr>
      <w:rPr>
        <w:rFonts w:cs="Times New Roman"/>
      </w:rPr>
    </w:lvl>
    <w:lvl w:ilvl="6" w:tplc="0C09000F">
      <w:start w:val="1"/>
      <w:numFmt w:val="decimal"/>
      <w:lvlText w:val="%7."/>
      <w:lvlJc w:val="left"/>
      <w:pPr>
        <w:ind w:left="5400" w:hanging="360"/>
      </w:pPr>
      <w:rPr>
        <w:rFonts w:cs="Times New Roman"/>
      </w:rPr>
    </w:lvl>
    <w:lvl w:ilvl="7" w:tplc="0C090019">
      <w:start w:val="1"/>
      <w:numFmt w:val="lowerLetter"/>
      <w:lvlText w:val="%8."/>
      <w:lvlJc w:val="left"/>
      <w:pPr>
        <w:ind w:left="6120" w:hanging="360"/>
      </w:pPr>
      <w:rPr>
        <w:rFonts w:cs="Times New Roman"/>
      </w:rPr>
    </w:lvl>
    <w:lvl w:ilvl="8" w:tplc="0C09001B">
      <w:start w:val="1"/>
      <w:numFmt w:val="lowerRoman"/>
      <w:lvlText w:val="%9."/>
      <w:lvlJc w:val="right"/>
      <w:pPr>
        <w:ind w:left="6840" w:hanging="180"/>
      </w:pPr>
      <w:rPr>
        <w:rFonts w:cs="Times New Roman"/>
      </w:rPr>
    </w:lvl>
  </w:abstractNum>
  <w:abstractNum w:abstractNumId="2" w15:restartNumberingAfterBreak="0">
    <w:nsid w:val="24B15BCC"/>
    <w:multiLevelType w:val="hybridMultilevel"/>
    <w:tmpl w:val="53101EDC"/>
    <w:lvl w:ilvl="0" w:tplc="E7EE3826">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num w:numId="1" w16cid:durableId="1662612452">
    <w:abstractNumId w:val="0"/>
  </w:num>
  <w:num w:numId="2" w16cid:durableId="936134715">
    <w:abstractNumId w:val="1"/>
  </w:num>
  <w:num w:numId="3" w16cid:durableId="1694452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D41"/>
    <w:rsid w:val="00022F7B"/>
    <w:rsid w:val="00091BFA"/>
    <w:rsid w:val="000A0973"/>
    <w:rsid w:val="001275E1"/>
    <w:rsid w:val="00202364"/>
    <w:rsid w:val="002420D3"/>
    <w:rsid w:val="00245F16"/>
    <w:rsid w:val="00346A2A"/>
    <w:rsid w:val="00410F53"/>
    <w:rsid w:val="00426137"/>
    <w:rsid w:val="004363D4"/>
    <w:rsid w:val="0047463A"/>
    <w:rsid w:val="004856F2"/>
    <w:rsid w:val="004B1621"/>
    <w:rsid w:val="004B2756"/>
    <w:rsid w:val="004C5CC8"/>
    <w:rsid w:val="00515891"/>
    <w:rsid w:val="005623C2"/>
    <w:rsid w:val="0065731C"/>
    <w:rsid w:val="006A7BF7"/>
    <w:rsid w:val="006D408D"/>
    <w:rsid w:val="006D6560"/>
    <w:rsid w:val="00727D41"/>
    <w:rsid w:val="007931CD"/>
    <w:rsid w:val="007E776D"/>
    <w:rsid w:val="00801DF2"/>
    <w:rsid w:val="00852D05"/>
    <w:rsid w:val="0086682C"/>
    <w:rsid w:val="00871436"/>
    <w:rsid w:val="008818AA"/>
    <w:rsid w:val="00891470"/>
    <w:rsid w:val="00891595"/>
    <w:rsid w:val="008E3E13"/>
    <w:rsid w:val="009C0DD5"/>
    <w:rsid w:val="00A577F9"/>
    <w:rsid w:val="00A62697"/>
    <w:rsid w:val="00AD5287"/>
    <w:rsid w:val="00B925DB"/>
    <w:rsid w:val="00C34700"/>
    <w:rsid w:val="00C73EFC"/>
    <w:rsid w:val="00D145FB"/>
    <w:rsid w:val="00D25E69"/>
    <w:rsid w:val="00DC5745"/>
    <w:rsid w:val="00DD5510"/>
    <w:rsid w:val="00E65EF1"/>
    <w:rsid w:val="00F20259"/>
    <w:rsid w:val="00F2281B"/>
    <w:rsid w:val="00FC4638"/>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FA614"/>
  <w15:chartTrackingRefBased/>
  <w15:docId w15:val="{BC3B27B9-BA06-409C-B041-08A25C748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891"/>
    <w:rPr>
      <w:rFonts w:ascii="Calibri" w:eastAsia="Times New Roman"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7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D41"/>
    <w:rPr>
      <w:rFonts w:ascii="Segoe UI" w:hAnsi="Segoe UI" w:cs="Segoe UI"/>
      <w:sz w:val="18"/>
      <w:szCs w:val="18"/>
    </w:rPr>
  </w:style>
  <w:style w:type="paragraph" w:styleId="Header">
    <w:name w:val="header"/>
    <w:basedOn w:val="Normal"/>
    <w:link w:val="HeaderChar"/>
    <w:uiPriority w:val="99"/>
    <w:unhideWhenUsed/>
    <w:rsid w:val="00B925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5DB"/>
  </w:style>
  <w:style w:type="paragraph" w:styleId="Footer">
    <w:name w:val="footer"/>
    <w:basedOn w:val="Normal"/>
    <w:link w:val="FooterChar"/>
    <w:uiPriority w:val="99"/>
    <w:unhideWhenUsed/>
    <w:rsid w:val="00B925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5DB"/>
  </w:style>
  <w:style w:type="paragraph" w:styleId="ListParagraph">
    <w:name w:val="List Paragraph"/>
    <w:basedOn w:val="Normal"/>
    <w:qFormat/>
    <w:rsid w:val="0051589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C4DA2824582FF44D933C8C5E0D056906" ma:contentTypeVersion="18" ma:contentTypeDescription="Create a new document." ma:contentTypeScope="" ma:versionID="338f33c10e6380d17552c6455276658a">
  <xsd:schema xmlns:xsd="http://www.w3.org/2001/XMLSchema" xmlns:xs="http://www.w3.org/2001/XMLSchema" xmlns:p="http://schemas.microsoft.com/office/2006/metadata/properties" xmlns:ns2="76ad0df1-ac2b-4a84-8622-b7b63bdc4aa7" xmlns:ns3="aa3c14db-27e2-40d8-948b-44a86b63061d" targetNamespace="http://schemas.microsoft.com/office/2006/metadata/properties" ma:root="true" ma:fieldsID="7245e870126577accf7d2bde9156f4f8" ns2:_="" ns3:_="">
    <xsd:import namespace="76ad0df1-ac2b-4a84-8622-b7b63bdc4aa7"/>
    <xsd:import namespace="aa3c14db-27e2-40d8-948b-44a86b63061d"/>
    <xsd:element name="properties">
      <xsd:complexType>
        <xsd:sequence>
          <xsd:element name="documentManagement">
            <xsd:complexType>
              <xsd:all>
                <xsd:element ref="ns2:SharedWithUsers" minOccurs="0"/>
                <xsd:element ref="ns2:SharedWithDetails" minOccurs="0"/>
                <xsd:element ref="ns3:Target_x0020_Audiences" minOccurs="0"/>
                <xsd:element ref="ns2:TaxKeywordTaxHTField" minOccurs="0"/>
                <xsd:element ref="ns2:TaxCatchAll" minOccurs="0"/>
                <xsd:element ref="ns3:bnqa" minOccurs="0"/>
                <xsd:element ref="ns2:_dlc_DocId" minOccurs="0"/>
                <xsd:element ref="ns2:_dlc_DocIdUrl" minOccurs="0"/>
                <xsd:element ref="ns2:_dlc_DocIdPersistId" minOccurs="0"/>
                <xsd:element ref="ns3:a"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d0df1-ac2b-4a84-8622-b7b63bdc4a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a3380acb-296a-4caa-b39d-be34116dfd1e"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hidden="true" ma:list="{07b92ca0-7b79-4a25-a0c3-b43396faa881}" ma:internalName="TaxCatchAll" ma:showField="CatchAllData" ma:web="76ad0df1-ac2b-4a84-8622-b7b63bdc4aa7">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a3c14db-27e2-40d8-948b-44a86b63061d" elementFormDefault="qualified">
    <xsd:import namespace="http://schemas.microsoft.com/office/2006/documentManagement/types"/>
    <xsd:import namespace="http://schemas.microsoft.com/office/infopath/2007/PartnerControls"/>
    <xsd:element name="Target_x0020_Audiences" ma:index="10" nillable="true" ma:displayName="Target Audiences" ma:internalName="Target_x0020_Audiences">
      <xsd:simpleType>
        <xsd:restriction base="dms:Unknown"/>
      </xsd:simpleType>
    </xsd:element>
    <xsd:element name="bnqa" ma:index="14" nillable="true" ma:displayName="Person or Group" ma:list="UserInfo" ma:internalName="bnq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 ma:index="18" nillable="true" ma:displayName="a" ma:default="1" ma:internalName="a">
      <xsd:simpleType>
        <xsd:restriction base="dms:Boolea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 xmlns="aa3c14db-27e2-40d8-948b-44a86b63061d">true</a>
    <TaxKeywordTaxHTField xmlns="76ad0df1-ac2b-4a84-8622-b7b63bdc4aa7">
      <Terms xmlns="http://schemas.microsoft.com/office/infopath/2007/PartnerControls"/>
    </TaxKeywordTaxHTField>
    <Target_x0020_Audiences xmlns="aa3c14db-27e2-40d8-948b-44a86b63061d" xsi:nil="true"/>
    <TaxCatchAll xmlns="76ad0df1-ac2b-4a84-8622-b7b63bdc4aa7"/>
    <bnqa xmlns="aa3c14db-27e2-40d8-948b-44a86b63061d">
      <UserInfo>
        <DisplayName/>
        <AccountId xsi:nil="true"/>
        <AccountType/>
      </UserInfo>
    </bnqa>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72DBAC-BF10-43A6-BD76-C8E3F046A3BE}">
  <ds:schemaRefs>
    <ds:schemaRef ds:uri="http://schemas.microsoft.com/sharepoint/events"/>
  </ds:schemaRefs>
</ds:datastoreItem>
</file>

<file path=customXml/itemProps2.xml><?xml version="1.0" encoding="utf-8"?>
<ds:datastoreItem xmlns:ds="http://schemas.openxmlformats.org/officeDocument/2006/customXml" ds:itemID="{FF15937E-1D51-491C-B260-F7419E205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d0df1-ac2b-4a84-8622-b7b63bdc4aa7"/>
    <ds:schemaRef ds:uri="aa3c14db-27e2-40d8-948b-44a86b630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197595-B049-4B09-A024-331DB7EE6407}">
  <ds:schemaRefs>
    <ds:schemaRef ds:uri="http://schemas.openxmlformats.org/officeDocument/2006/bibliography"/>
  </ds:schemaRefs>
</ds:datastoreItem>
</file>

<file path=customXml/itemProps4.xml><?xml version="1.0" encoding="utf-8"?>
<ds:datastoreItem xmlns:ds="http://schemas.openxmlformats.org/officeDocument/2006/customXml" ds:itemID="{D62536C9-7C54-49E7-85BB-BE2DE4248375}">
  <ds:schemaRefs>
    <ds:schemaRef ds:uri="http://schemas.microsoft.com/office/2006/metadata/properties"/>
    <ds:schemaRef ds:uri="http://schemas.microsoft.com/office/infopath/2007/PartnerControls"/>
    <ds:schemaRef ds:uri="aa3c14db-27e2-40d8-948b-44a86b63061d"/>
    <ds:schemaRef ds:uri="76ad0df1-ac2b-4a84-8622-b7b63bdc4aa7"/>
  </ds:schemaRefs>
</ds:datastoreItem>
</file>

<file path=customXml/itemProps5.xml><?xml version="1.0" encoding="utf-8"?>
<ds:datastoreItem xmlns:ds="http://schemas.openxmlformats.org/officeDocument/2006/customXml" ds:itemID="{463D8706-1F72-4759-B2F6-0766D5FB1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 Breglia</dc:creator>
  <cp:keywords/>
  <dc:description/>
  <cp:lastModifiedBy>Scott Bettinson</cp:lastModifiedBy>
  <cp:revision>6</cp:revision>
  <cp:lastPrinted>2014-11-10T12:27:00Z</cp:lastPrinted>
  <dcterms:created xsi:type="dcterms:W3CDTF">2024-10-20T00:21:00Z</dcterms:created>
  <dcterms:modified xsi:type="dcterms:W3CDTF">2024-11-14T02:03:00Z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0x010100C4DA2824582FF44D933C8C5E0D056906</vt:lpwstr>
  </property>
  <property fmtid="{D5CDD505-2E9C-101B-9397-08002B2CF9AE}" pid="3" name="TaxKeyword">
    <vt:lpwstr/>
  </property>
</Properties>
</file>